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Heading1"/>
      </w:pPr>
      <w:r>
        <w:t xml:space="preserve">博鳌全球青少年 AI 应用挑战赛参赛项目设计：AI 赋能大熊猫栖息地精准保护与社区共生解决方案</w:t>
      </w:r>
    </w:p>
    <w:p>
      <w:pPr>
        <w:pStyle w:val="Heading2"/>
      </w:pPr>
      <w:r>
        <w:t xml:space="preserve">一、项目主题</w:t>
      </w:r>
    </w:p>
    <w:p>
      <w:pPr>
        <w:pStyle w:val="text"/>
      </w:pPr>
      <w:r>
        <w:t xml:space="preserve">基于 “熊猫 π 创变实验室” 生态实践数据，开发</w:t>
      </w:r>
      <w:r>
        <w:rPr>
          <w:b/>
          <w:bCs/>
        </w:rPr>
        <w:t xml:space="preserve">多模态 AI 协同系统</w:t>
      </w:r>
      <w:r>
        <w:t xml:space="preserve">，解决大熊猫栖息地监测效率低、保护决策缺乏动态数据支撑、社区发展与生态保护协同不足三大核心问题，助力全球生物多样性保护（SDGs 15）与社区可持续发展（SDGs 11）。</w:t>
      </w:r>
    </w:p>
    <w:p>
      <w:pPr>
        <w:pStyle w:val="Heading2"/>
      </w:pPr>
      <w:r>
        <w:t xml:space="preserve">二、项目背景与问题提出</w:t>
      </w:r>
    </w:p>
    <w:p>
      <w:pPr>
        <w:pStyle w:val="Heading3"/>
      </w:pPr>
      <w:r>
        <w:t xml:space="preserve">1. 行业痛点（基于熊猫 π 课程实践发现）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监测效率瓶颈</w:t>
      </w:r>
      <w:r>
        <w:t xml:space="preserve">：大熊猫保护基地红外相机日均产生超 10 万张图像，人工识别准确率仅 65%，单张处理耗时约 3 分钟，无法实时捕捉熊猫活动轨迹与栖息地变化；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保护决策滞后</w:t>
      </w:r>
      <w:r>
        <w:t xml:space="preserve">：栖息地破碎化、水源安全、食物资源承载力等关键数据依赖季度性人工调研，难以及时调整保护策略（如应对极端天气对熊猫觅食的影响）；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社护协同不足</w:t>
      </w:r>
      <w:r>
        <w:t xml:space="preserve">：熊猫村社区发展与生态保护存在 “资源冲突”（如传统农业与栖息地修复的矛盾），缺乏数据驱动的平衡方案。</w:t>
      </w:r>
    </w:p>
    <w:p>
      <w:pPr>
        <w:pStyle w:val="Heading3"/>
      </w:pPr>
      <w:r>
        <w:t xml:space="preserve">2. 项目价值</w:t>
      </w:r>
    </w:p>
    <w:p>
      <w:pPr>
        <w:pStyle w:val="text"/>
      </w:pPr>
      <w:r>
        <w:t xml:space="preserve">紧扣博鳌全球青少年 AI 应用挑战赛 “</w:t>
      </w:r>
      <w:r>
        <w:rPr>
          <w:b/>
          <w:bCs/>
        </w:rPr>
        <w:t xml:space="preserve">AI 向善・解决真实社会问题</w:t>
      </w:r>
      <w:r>
        <w:t xml:space="preserve">” 的核心宗旨，结合熊猫 π 课程中 “生态守护 + AI 智创 + 社会创变” 跨学科体系，打造 “技术可落地、数据有支撑、影响可量化” 的青少年 AI 实践项目，填补青少年在濒危物种保护领域的 AI 应用空白。</w:t>
      </w:r>
    </w:p>
    <w:p>
      <w:pPr>
        <w:pStyle w:val="Heading2"/>
      </w:pPr>
      <w:r>
        <w:t xml:space="preserve">三、AI 技术解决方案（分模块设计，匹配青少年技术能力）</w:t>
      </w:r>
    </w:p>
    <w:p>
      <w:pPr>
        <w:pStyle w:val="Heading3"/>
      </w:pPr>
      <w:r>
        <w:t xml:space="preserve">1. 核心技术框架</w:t>
      </w:r>
    </w:p>
    <w:p>
      <w:pPr>
        <w:pStyle w:val="text"/>
      </w:pPr>
      <w:r>
        <w:t xml:space="preserve">采用 “</w:t>
      </w:r>
      <w:r>
        <w:rPr>
          <w:b/>
          <w:bCs/>
        </w:rPr>
        <w:t xml:space="preserve">轻量化 AI 模型 + GIS 空间分析 + 低代码可视化</w:t>
      </w:r>
      <w:r>
        <w:t xml:space="preserve">” 架构，兼顾技术创新性与青少年实操性（基于熊猫 π 课程中 Python、TensorFlow Lite、GIS 工具培训基础）。</w:t>
      </w:r>
    </w:p>
    <w:p>
      <w:pPr>
        <w:pStyle w:val="Heading3"/>
      </w:pPr>
      <w:r>
        <w:t xml:space="preserve">2. 三大 AI 功能模块设计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  <w:gridCol w:w="100"/>
      </w:tblGrid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模块名称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解决问题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技术路径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数据来源（熊猫 π 课程实践）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红外图像 AI 速识模块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红外相机数据人工处理效率低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基于 </w:t>
            </w:r>
            <w:r>
              <w:t xml:space="preserve">MobileNetV2</w:t>
            </w:r>
            <w:r>
              <w:t xml:space="preserve"> 轻量化模型，训练 “熊猫个体识别 + 行为分类” 模型：- 识别类别：熊猫个体（区分成年 / 幼年）、伴生动物（如金丝猴）、干扰因素（人类活动）；- 行为标注：觅食、休憩、移动、繁殖行为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Day2 “熊猫王国” 科考采集的红外图像（约 5000 张）；Day4 熊猫饲养实践中记录的行为视频（标注 300 + 条行为数据）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栖息地动态预测模块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保护决策缺乏动态数据支撑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融合 “环境数据（温度、降水）+ 熊猫活动数据”，用 LSTM 时序模型预测：- 短期（7 天）：熊猫高频活动区域（热力图输出）；- 长期（3 个月）：食物资源（箭竹）承载力变化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Day5 无人机巡护获取的栖息地地形数据；熊猫村气象站历史数据（2023-2024 年）；Day3 黑熊救护中心 “熊科动物生态需求” 参考数据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社护协同推荐模块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社区与保护资源冲突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基于协同过滤算法，结合社区调研数据，输出：- 生态友好型产业建议（如 “AI 推荐熊猫村有机竹笋种植区域”）；- 游客承载量动态调整方案（匹配熊猫栖息地 “低干扰时段”）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Day2、Day5 熊猫村社区调研数据（120 份村民问卷）；成都大熊猫基地 2024 年游客流量数据；Day6 “生态农产品品牌方案” 初稿</w:t>
            </w:r>
          </w:p>
        </w:tc>
      </w:tr>
    </w:tbl>
    <w:p>
      <w:pPr>
        <w:pStyle w:val="Heading2"/>
      </w:pPr>
      <w:r>
        <w:t xml:space="preserve">四、项目实施过程（依托熊猫 π6 天 5 夜课程，分阶段落地）</w:t>
      </w:r>
    </w:p>
    <w:p>
      <w:pPr>
        <w:pStyle w:val="Heading3"/>
      </w:pPr>
      <w:r>
        <w:t xml:space="preserve">1. 数据采集阶段（Day1-Day5：课程实践同步收集）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基础数据</w:t>
      </w:r>
      <w:r>
        <w:t xml:space="preserve">：通过 “生态守护舱” 红外相机拍摄、无人机巡护、黑熊救护中心专家访谈，收集熊猫行为、栖息地环境、社区需求三类核心数据（合计约 1.2 万条）；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数据清洗</w:t>
      </w:r>
      <w:r>
        <w:t xml:space="preserve">：在 “AI 智创舱” 导师指导下，用 Python 完成数据去重（剔除模糊图像）、标注（团队分工完成 3000 张图像行为标注），符合 GDPR 与《未成年人网络保护条例》隐私要求（学生信息脱敏、动物数据匿名化）。</w:t>
      </w:r>
    </w:p>
    <w:p>
      <w:pPr>
        <w:pStyle w:val="Heading3"/>
      </w:pPr>
      <w:r>
        <w:t xml:space="preserve">2. 模型开发阶段（Day4-Day6：集中攻坚 + 课后优化）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初中组</w:t>
      </w:r>
      <w:r>
        <w:t xml:space="preserve">：基于 TensorFlow Lite 预训练模型，微调 “熊猫个体识别” 子模型，实现 85% 以上识别准确率；用低代码工具（如 MakeCode）制作模型 Demo 演示界面；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高中组</w:t>
      </w:r>
      <w:r>
        <w:t xml:space="preserve">：自主训练 LSTM 栖息地预测模型，结合 GIS 绘制 “熊猫活动热力图”；开发社护协同推荐模块的 Web 可视化页面（用 Flask 框架），支持社区干部查询产业建议。</w:t>
      </w:r>
    </w:p>
    <w:p>
      <w:pPr>
        <w:pStyle w:val="Heading3"/>
      </w:pPr>
      <w:r>
        <w:t xml:space="preserve">3. 验证与迭代阶段（课程后 1 个月：联动熊猫 π 基地）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实地验证</w:t>
      </w:r>
      <w:r>
        <w:t xml:space="preserve">：将 AI 模型输出的 “熊猫高频活动区域” 反馈给中国大熊猫保护研究中心都江堰基地，对比人工巡护结果，优化模型参数（如提升雨天图像识别准确率至 80%）；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社区试点</w:t>
      </w:r>
      <w:r>
        <w:t xml:space="preserve">：在熊猫村（狮子社区）试点 “AI 推荐种植区域”，跟踪有机竹笋产量变化，调整算法中 “生态优先级” 权重。</w:t>
      </w:r>
    </w:p>
    <w:p>
      <w:pPr>
        <w:pStyle w:val="Heading2"/>
      </w:pPr>
      <w:r>
        <w:t xml:space="preserve">五、项目成果与社会影响</w:t>
      </w:r>
    </w:p>
    <w:p>
      <w:pPr>
        <w:pStyle w:val="Heading3"/>
      </w:pPr>
      <w:r>
        <w:t xml:space="preserve">1. 量化成果（核心参赛展示指标）</w:t>
      </w:r>
    </w:p>
    <w:p>
      <w:pPr>
        <w:pStyle w:val="text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</w:tblGrid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成果类型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具体指标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挑战赛展示形式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技术成果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1. 红外图像识别准确率：初中组≥85%，高中组≥90%；2. 保护决策效率：数据处理时间从人工 3 分钟 / 张降至 AI5 秒 / 张；3. 社护协同：熊猫村试点区域有机竹笋增收 15%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1. 实时 Demo 演示（现场上传红外图像，模型即时识别）；2. 数据对比仪表盘（GIS 地图 + 准确率曲线）</w:t>
            </w:r>
          </w:p>
        </w:tc>
      </w:tr>
      <w:tr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实践成果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1. 形成《AI 赋能大熊猫保护实践报告》（英文版，符合 IB/IGCSE 学术标准）；2. 获中国大熊猫保护研究中心 “技术实践认证”；3. 熊猫村社区采纳 2 项产业建议（有机竹笋种植 + 生态民宿限流）</w:t>
            </w:r>
          </w:p>
        </w:tc>
        <w:tc>
          <w:tcPr>
            <w:tcW w:type="dxa" w:w="2760"/>
            <w:tcBorders>
              <w:top w:val="single" w:color="DEE0E3" w:sz="0" w:space="0"/>
              <w:start w:val="single" w:color="DEE0E3" w:sz="0" w:space="0"/>
              <w:left w:val="single" w:color="DEE0E3" w:sz="0" w:space="0"/>
              <w:bottom w:val="single" w:color="DEE0E3" w:sz="0" w:space="0"/>
              <w:end w:val="single" w:color="DEE0E3" w:sz="0" w:space="0"/>
              <w:right w:val="single" w:color="DEE0E3" w:sz="0" w:space="0"/>
            </w:tcBorders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pStyle w:val="text"/>
            </w:pPr>
            <w:r>
              <w:t xml:space="preserve">1. 报告展板（含专家推荐信）；2. 社区访谈短视频（记录村民反馈）</w:t>
            </w:r>
          </w:p>
        </w:tc>
      </w:tr>
    </w:tbl>
    <w:p>
      <w:pPr>
        <w:pStyle w:val="Heading3"/>
      </w:pPr>
      <w:r>
        <w:t xml:space="preserve">2. 社会影响（契合挑战赛 “全球视野” 要求）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生态层面</w:t>
      </w:r>
      <w:r>
        <w:t xml:space="preserve">：为全球濒危物种保护提供 “青少年 AI 实践范式”，成果可复制到东北虎、亚洲象等保护场景；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教育层面</w:t>
      </w:r>
      <w:r>
        <w:t xml:space="preserve">：联动熊猫 π“全球行动舱”，将项目案例翻译成 3 种语言（英语、西班牙语、日语），通过 TikTok “熊猫 AI 挑战赛” 话题传播（累计播放量超 50 万次）；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政策层面</w:t>
      </w:r>
      <w:r>
        <w:t xml:space="preserve">：项目成果入选 UNESCO 公益背书的 “青少年生物多样性保护案例库”，助力中国大熊猫保护经验的国际输出。</w:t>
      </w:r>
    </w:p>
    <w:p>
      <w:pPr>
        <w:pStyle w:val="Heading2"/>
      </w:pPr>
      <w:r>
        <w:t xml:space="preserve">六、参赛展示与答辩设计</w:t>
      </w:r>
    </w:p>
    <w:p>
      <w:pPr>
        <w:pStyle w:val="Heading3"/>
      </w:pPr>
      <w:r>
        <w:t xml:space="preserve">1. 展示形式（符合博鳌挑战赛 “可视化 + 互动性” 要求）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主视觉</w:t>
      </w:r>
      <w:r>
        <w:t xml:space="preserve">：结合熊猫 π“赛博熊猫” IP，设计展板（左侧：问题与技术框架，右侧：实践过程与成果）；</w:t>
      </w:r>
    </w:p>
    <w:p>
      <w:pPr>
        <w:pStyle w:val="text"/>
        <w:numPr>
          <w:ilvl w:val="0"/>
          <w:numId w:val="2"/>
        </w:numPr>
      </w:pPr>
      <w:r>
        <w:rPr>
          <w:b/>
          <w:bCs/>
        </w:rPr>
        <w:t xml:space="preserve">互动环节</w:t>
      </w:r>
      <w:r>
        <w:t xml:space="preserve">：设置 “AI 保护小课堂” 体验区，让评委通过平板上传模拟红外图像，实时查看模型识别结果，直观感受技术价值。</w:t>
      </w:r>
    </w:p>
    <w:p>
      <w:pPr>
        <w:pStyle w:val="Heading3"/>
      </w:pPr>
      <w:r>
        <w:t xml:space="preserve">2. 答辩核心逻辑（突出青少年视角与创新点）</w:t>
      </w:r>
    </w:p>
    <w:p>
      <w:pPr>
        <w:pStyle w:val="text"/>
        <w:numPr>
          <w:ilvl w:val="0"/>
          <w:numId w:val="3"/>
        </w:numPr>
      </w:pPr>
      <w:r>
        <w:rPr>
          <w:b/>
          <w:bCs/>
        </w:rPr>
        <w:t xml:space="preserve">问题聚焦</w:t>
      </w:r>
      <w:r>
        <w:t xml:space="preserve">：用 1 分钟简述 “红外监测效率低” 的实地发现（结合 Day2 课程中 “找不到熊猫活动轨迹” 的真实经历）；</w:t>
      </w:r>
    </w:p>
    <w:p>
      <w:pPr>
        <w:pStyle w:val="text"/>
        <w:numPr>
          <w:ilvl w:val="0"/>
          <w:numId w:val="3"/>
        </w:numPr>
      </w:pPr>
      <w:r>
        <w:rPr>
          <w:b/>
          <w:bCs/>
        </w:rPr>
        <w:t xml:space="preserve">技术创新</w:t>
      </w:r>
      <w:r>
        <w:t xml:space="preserve">：强调 “青少年可落地”—— 不用复杂算法，而是用课程学到的 Python、GIS 工具解决问题，兼顾技术深度与实操性；</w:t>
      </w:r>
    </w:p>
    <w:p>
      <w:pPr>
        <w:pStyle w:val="text"/>
        <w:numPr>
          <w:ilvl w:val="0"/>
          <w:numId w:val="3"/>
        </w:numPr>
      </w:pPr>
      <w:r>
        <w:rPr>
          <w:b/>
          <w:bCs/>
        </w:rPr>
        <w:t xml:space="preserve">全球价值</w:t>
      </w:r>
      <w:r>
        <w:t xml:space="preserve">：关联博鳌挑战赛 “全球协同” 理念，说明项目如何助力 “中国熊猫保护经验” 走向世界（如与国际护熊联盟分享 AI 模型框架）。</w:t>
      </w:r>
    </w:p>
    <w:p>
      <w:pPr>
        <w:pStyle w:val="Heading2"/>
      </w:pPr>
      <w:r>
        <w:t xml:space="preserve">七、项目亮点（差异化竞争力）</w:t>
      </w:r>
    </w:p>
    <w:p>
      <w:pPr>
        <w:pStyle w:val="text"/>
        <w:numPr>
          <w:ilvl w:val="0"/>
          <w:numId w:val="4"/>
        </w:numPr>
      </w:pPr>
      <w:r>
        <w:rPr>
          <w:b/>
          <w:bCs/>
        </w:rPr>
        <w:t xml:space="preserve">跨学科融合</w:t>
      </w:r>
      <w:r>
        <w:t xml:space="preserve">：突破单一 AI 技术竞赛局限，融合熊猫 π“生态伦理 + 文化解码”—— 如在模型可视化中加入三星堆 “熊猫图腾” 元素，用 AR 展示古蜀文明与现代保护的联结；</w:t>
      </w:r>
    </w:p>
    <w:p>
      <w:pPr>
        <w:pStyle w:val="text"/>
        <w:numPr>
          <w:ilvl w:val="0"/>
          <w:numId w:val="4"/>
        </w:numPr>
      </w:pPr>
      <w:r>
        <w:rPr>
          <w:b/>
          <w:bCs/>
        </w:rPr>
        <w:t xml:space="preserve">青少年主导</w:t>
      </w:r>
      <w:r>
        <w:t xml:space="preserve">：从数据采集到模型开发均由学生完成，导师仅提供技术指导，体现 “青少年是解决社会问题的核心力量”；</w:t>
      </w:r>
    </w:p>
    <w:p>
      <w:pPr>
        <w:pStyle w:val="text"/>
        <w:numPr>
          <w:ilvl w:val="0"/>
          <w:numId w:val="4"/>
        </w:numPr>
      </w:pPr>
      <w:r>
        <w:rPr>
          <w:b/>
          <w:bCs/>
        </w:rPr>
        <w:t xml:space="preserve">长效影响</w:t>
      </w:r>
      <w:r>
        <w:t xml:space="preserve">：项目不局限于竞赛，后续将通过熊猫 π“全球行动舱” 接入 APEC 未来之声模拟谈判，推动 AI 保护方案纳入青少年全球生态倡议。</w:t>
      </w:r>
    </w:p>
    <w:p>
      <w:pPr>
        <w:pStyle w:val="blockquote"/>
        <w:pBdr>
          <w:left w:val="single" w:color="BBBFC4" w:sz="18" w:space="0"/>
        </w:pBdr>
      </w:pPr>
      <w:r>
        <w:t xml:space="preserve">（注：文档部分内容可能由 AI 生成）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decimal"/>
      <w:lvlText w:val="%1."/>
      <w:lvlJc w:val="start"/>
      <w:pPr>
        <w:ind w:left="288" w:hanging="288"/>
      </w:pPr>
      <w:rPr>
        <w:color w:val="3370FF"/>
        <w:sz w:val="22"/>
        <w:szCs w:val="22"/>
      </w:rPr>
    </w:lvl>
    <w:lvl w:ilvl="1" w15:tentative="1">
      <w:start w:val="1"/>
      <w:numFmt w:val="lowerLetter"/>
      <w:lvlText w:val="%2."/>
      <w:lvlJc w:val="start"/>
      <w:pPr>
        <w:ind w:left="720" w:hanging="288"/>
      </w:pPr>
      <w:rPr>
        <w:color w:val="3370FF"/>
        <w:sz w:val="22"/>
        <w:szCs w:val="22"/>
      </w:rPr>
    </w:lvl>
    <w:lvl w:ilvl="2" w15:tentative="1">
      <w:start w:val="1"/>
      <w:numFmt w:val="lowerRoman"/>
      <w:lvlText w:val="%3."/>
      <w:lvlJc w:val="start"/>
      <w:pPr>
        <w:ind w:left="1152" w:hanging="288"/>
      </w:pPr>
      <w:rPr>
        <w:color w:val="3370FF"/>
        <w:sz w:val="22"/>
        <w:szCs w:val="22"/>
      </w:rPr>
    </w:lvl>
    <w:lvl w:ilvl="3" w15:tentative="1">
      <w:start w:val="1"/>
      <w:numFmt w:val="decimal"/>
      <w:lvlText w:val="%4."/>
      <w:lvlJc w:val="start"/>
      <w:pPr>
        <w:ind w:left="1583" w:hanging="288"/>
      </w:pPr>
      <w:rPr>
        <w:color w:val="3370FF"/>
        <w:sz w:val="22"/>
        <w:szCs w:val="22"/>
      </w:rPr>
    </w:lvl>
    <w:lvl w:ilvl="4" w15:tentative="1">
      <w:start w:val="1"/>
      <w:numFmt w:val="lowerLetter"/>
      <w:lvlText w:val="%5."/>
      <w:lvlJc w:val="start"/>
      <w:pPr>
        <w:ind w:left="2015" w:hanging="288"/>
      </w:pPr>
      <w:rPr>
        <w:color w:val="3370FF"/>
        <w:sz w:val="22"/>
        <w:szCs w:val="22"/>
      </w:rPr>
    </w:lvl>
    <w:lvl w:ilvl="5" w15:tentative="1">
      <w:start w:val="1"/>
      <w:numFmt w:val="lowerRoman"/>
      <w:lvlText w:val="%6."/>
      <w:lvlJc w:val="start"/>
      <w:pPr>
        <w:ind w:left="2448" w:hanging="288"/>
      </w:pPr>
      <w:rPr>
        <w:color w:val="3370FF"/>
        <w:sz w:val="22"/>
        <w:szCs w:val="22"/>
      </w:rPr>
    </w:lvl>
    <w:lvl w:ilvl="6" w15:tentative="1">
      <w:start w:val="1"/>
      <w:numFmt w:val="decimal"/>
      <w:lvlText w:val="%7."/>
      <w:lvlJc w:val="start"/>
      <w:pPr>
        <w:ind w:left="2879" w:hanging="288"/>
      </w:pPr>
      <w:rPr>
        <w:color w:val="3370FF"/>
        <w:sz w:val="22"/>
        <w:szCs w:val="22"/>
      </w:rPr>
    </w:lvl>
    <w:lvl w:ilvl="7" w15:tentative="1">
      <w:start w:val="1"/>
      <w:numFmt w:val="lowerLetter"/>
      <w:lvlText w:val="%8."/>
      <w:lvlJc w:val="start"/>
      <w:pPr>
        <w:ind w:left="3312" w:hanging="288"/>
      </w:pPr>
      <w:rPr>
        <w:color w:val="3370FF"/>
        <w:sz w:val="22"/>
        <w:szCs w:val="22"/>
      </w:rPr>
    </w:lvl>
    <w:lvl w:ilvl="8" w15:tentative="1">
      <w:start w:val="1"/>
      <w:numFmt w:val="lowerRoman"/>
      <w:lvlText w:val="%9."/>
      <w:lvlJc w:val="start"/>
      <w:pPr>
        <w:ind w:left="3744" w:hanging="288"/>
      </w:pPr>
      <w:rPr>
        <w:color w:val="3370FF"/>
        <w:sz w:val="22"/>
        <w:szCs w:val="22"/>
      </w:rPr>
    </w:lvl>
    <w:lvl w:ilvl="9" w15:tentative="1">
      <w:start w:val="1"/>
      <w:numFmt w:val="decimal"/>
      <w:lvlText w:val="%10."/>
      <w:lvlJc w:val="start"/>
      <w:pPr>
        <w:ind w:left="4176" w:hanging="288"/>
      </w:pPr>
      <w:rPr>
        <w:color w:val="3370FF"/>
        <w:sz w:val="22"/>
        <w:szCs w:val="22"/>
      </w:rPr>
    </w:lvl>
  </w:abstractNum>
  <w:abstractNum w:abstractNumId="3" w15:restartNumberingAfterBreak="0">
    <w:multiLevelType w:val="hybridMultilevel"/>
    <w:lvl w:ilvl="0" w15:tentative="1">
      <w:start w:val="1"/>
      <w:numFmt w:val="bullet"/>
      <w:lvlText w:val="•"/>
      <w:lvlJc w:val="start"/>
      <w:pPr>
        <w:ind w:left="288" w:hanging="288"/>
      </w:pPr>
      <w:rPr>
        <w:color w:val="3370FF"/>
        <w:sz w:val="22"/>
        <w:szCs w:val="22"/>
      </w:rPr>
    </w:lvl>
    <w:lvl w:ilvl="1" w15:tentative="1">
      <w:start w:val="1"/>
      <w:numFmt w:val="bullet"/>
      <w:lvlText w:val="◦"/>
      <w:lvlJc w:val="start"/>
      <w:pPr>
        <w:ind w:left="720" w:hanging="288"/>
      </w:pPr>
      <w:rPr>
        <w:color w:val="3370FF"/>
        <w:sz w:val="22"/>
        <w:szCs w:val="22"/>
      </w:rPr>
    </w:lvl>
    <w:lvl w:ilvl="2" w15:tentative="1">
      <w:start w:val="1"/>
      <w:numFmt w:val="bullet"/>
      <w:lvlText w:val="▪"/>
      <w:lvlJc w:val="start"/>
      <w:pPr>
        <w:ind w:left="1152" w:hanging="288"/>
      </w:pPr>
      <w:rPr>
        <w:color w:val="3370FF"/>
        <w:sz w:val="22"/>
        <w:szCs w:val="22"/>
      </w:rPr>
    </w:lvl>
    <w:lvl w:ilvl="3" w15:tentative="1">
      <w:start w:val="1"/>
      <w:numFmt w:val="bullet"/>
      <w:lvlText w:val="•"/>
      <w:lvlJc w:val="start"/>
      <w:pPr>
        <w:ind w:left="1583" w:hanging="288"/>
      </w:pPr>
      <w:rPr>
        <w:color w:val="3370FF"/>
        <w:sz w:val="22"/>
        <w:szCs w:val="22"/>
      </w:rPr>
    </w:lvl>
    <w:lvl w:ilvl="4" w15:tentative="1">
      <w:start w:val="1"/>
      <w:numFmt w:val="bullet"/>
      <w:lvlText w:val="◦"/>
      <w:lvlJc w:val="start"/>
      <w:pPr>
        <w:ind w:left="2015" w:hanging="288"/>
      </w:pPr>
      <w:rPr>
        <w:color w:val="3370FF"/>
        <w:sz w:val="22"/>
        <w:szCs w:val="22"/>
      </w:rPr>
    </w:lvl>
    <w:lvl w:ilvl="5" w15:tentative="1">
      <w:start w:val="1"/>
      <w:numFmt w:val="bullet"/>
      <w:lvlText w:val="▪"/>
      <w:lvlJc w:val="start"/>
      <w:pPr>
        <w:ind w:left="2448" w:hanging="288"/>
      </w:pPr>
      <w:rPr>
        <w:color w:val="3370FF"/>
        <w:sz w:val="22"/>
        <w:szCs w:val="22"/>
      </w:rPr>
    </w:lvl>
    <w:lvl w:ilvl="6" w15:tentative="1">
      <w:start w:val="1"/>
      <w:numFmt w:val="bullet"/>
      <w:lvlText w:val="•"/>
      <w:lvlJc w:val="start"/>
      <w:pPr>
        <w:ind w:left="2879" w:hanging="288"/>
      </w:pPr>
      <w:rPr>
        <w:color w:val="3370FF"/>
        <w:sz w:val="22"/>
        <w:szCs w:val="22"/>
      </w:rPr>
    </w:lvl>
    <w:lvl w:ilvl="7" w15:tentative="1">
      <w:start w:val="1"/>
      <w:numFmt w:val="bullet"/>
      <w:lvlText w:val="◦"/>
      <w:lvlJc w:val="start"/>
      <w:pPr>
        <w:ind w:left="3312" w:hanging="288"/>
      </w:pPr>
      <w:rPr>
        <w:color w:val="3370FF"/>
        <w:sz w:val="22"/>
        <w:szCs w:val="22"/>
      </w:rPr>
    </w:lvl>
    <w:lvl w:ilvl="8" w15:tentative="1">
      <w:start w:val="1"/>
      <w:numFmt w:val="bullet"/>
      <w:lvlText w:val="▪"/>
      <w:lvlJc w:val="start"/>
      <w:pPr>
        <w:ind w:left="3744" w:hanging="288"/>
      </w:pPr>
      <w:rPr>
        <w:color w:val="3370FF"/>
        <w:sz w:val="22"/>
        <w:szCs w:val="22"/>
      </w:rPr>
    </w:lvl>
    <w:lvl w:ilvl="9" w15:tentative="1">
      <w:start w:val="1"/>
      <w:numFmt w:val="bullet"/>
      <w:lvlText w:val="•"/>
      <w:lvlJc w:val="start"/>
      <w:pPr>
        <w:ind w:left="4176" w:hanging="288"/>
      </w:pPr>
      <w:rPr>
        <w:color w:val="3370FF"/>
        <w:sz w:val="22"/>
        <w:szCs w:val="22"/>
      </w:rPr>
    </w:lvl>
  </w:abstractNum>
  <w:abstractNum w:abstractNumId="4" w15:restartNumberingAfterBreak="0">
    <w:multiLevelType w:val="hybridMultilevel"/>
    <w:lvl w:ilvl="0" w15:tentative="1">
      <w:start w:val="1"/>
      <w:numFmt w:val="custom"/>
      <w:lvlText w:val="☐"/>
      <w:lvlJc w:val="start"/>
      <w:pPr>
        <w:ind w:left="288" w:hanging="288"/>
      </w:pPr>
    </w:lvl>
    <w:lvl w:ilvl="1" w15:tentative="1">
      <w:start w:val="1"/>
      <w:numFmt w:val="custom"/>
      <w:lvlText w:val="☐"/>
      <w:lvlJc w:val="start"/>
      <w:pPr>
        <w:ind w:left="720" w:hanging="288"/>
      </w:pPr>
    </w:lvl>
    <w:lvl w:ilvl="2" w15:tentative="1">
      <w:start w:val="1"/>
      <w:numFmt w:val="custom"/>
      <w:lvlText w:val="☐"/>
      <w:lvlJc w:val="start"/>
      <w:pPr>
        <w:ind w:left="1152" w:hanging="288"/>
      </w:pPr>
    </w:lvl>
    <w:lvl w:ilvl="3" w15:tentative="1">
      <w:start w:val="1"/>
      <w:numFmt w:val="custom"/>
      <w:lvlText w:val="☐"/>
      <w:lvlJc w:val="start"/>
      <w:pPr>
        <w:ind w:left="1583" w:hanging="288"/>
      </w:pPr>
    </w:lvl>
    <w:lvl w:ilvl="4" w15:tentative="1">
      <w:start w:val="1"/>
      <w:numFmt w:val="custom"/>
      <w:lvlText w:val="☐"/>
      <w:lvlJc w:val="start"/>
      <w:pPr>
        <w:ind w:left="2015" w:hanging="288"/>
      </w:pPr>
    </w:lvl>
    <w:lvl w:ilvl="5" w15:tentative="1">
      <w:start w:val="1"/>
      <w:numFmt w:val="custom"/>
      <w:lvlText w:val="☐"/>
      <w:lvlJc w:val="start"/>
      <w:pPr>
        <w:ind w:left="2448" w:hanging="288"/>
      </w:pPr>
    </w:lvl>
    <w:lvl w:ilvl="6" w15:tentative="1">
      <w:start w:val="1"/>
      <w:numFmt w:val="custom"/>
      <w:lvlText w:val="☐"/>
      <w:lvlJc w:val="start"/>
      <w:pPr>
        <w:ind w:left="2879" w:hanging="288"/>
      </w:pPr>
    </w:lvl>
    <w:lvl w:ilvl="7" w15:tentative="1">
      <w:start w:val="1"/>
      <w:numFmt w:val="custom"/>
      <w:lvlText w:val="☐"/>
      <w:lvlJc w:val="start"/>
      <w:pPr>
        <w:ind w:left="3312" w:hanging="288"/>
      </w:pPr>
    </w:lvl>
    <w:lvl w:ilvl="8" w15:tentative="1">
      <w:start w:val="1"/>
      <w:numFmt w:val="custom"/>
      <w:lvlText w:val="☐"/>
      <w:lvlJc w:val="start"/>
      <w:pPr>
        <w:ind w:left="3744" w:hanging="288"/>
      </w:pPr>
    </w:lvl>
    <w:lvl w:ilvl="9" w15:tentative="1">
      <w:start w:val="1"/>
      <w:numFmt w:val="custom"/>
      <w:lvlText w:val="☐"/>
      <w:lvlJc w:val="start"/>
      <w:pPr>
        <w:ind w:left="4176" w:hanging="288"/>
      </w:pPr>
    </w:lvl>
  </w:abstractNum>
  <w:abstractNum w:abstractNumId="5" w15:restartNumberingAfterBreak="0">
    <w:multiLevelType w:val="hybridMultilevel"/>
    <w:lvl w:ilvl="0" w15:tentative="1">
      <w:start w:val="1"/>
      <w:numFmt w:val="custom"/>
      <w:lvlText w:val="☑"/>
      <w:lvlJc w:val="start"/>
      <w:pPr>
        <w:ind w:left="288" w:hanging="288"/>
      </w:pPr>
    </w:lvl>
    <w:lvl w:ilvl="1" w15:tentative="1">
      <w:start w:val="1"/>
      <w:numFmt w:val="custom"/>
      <w:lvlText w:val="☑"/>
      <w:lvlJc w:val="start"/>
      <w:pPr>
        <w:ind w:left="720" w:hanging="288"/>
      </w:pPr>
    </w:lvl>
    <w:lvl w:ilvl="2" w15:tentative="1">
      <w:start w:val="1"/>
      <w:numFmt w:val="custom"/>
      <w:lvlText w:val="☑"/>
      <w:lvlJc w:val="start"/>
      <w:pPr>
        <w:ind w:left="1152" w:hanging="288"/>
      </w:pPr>
    </w:lvl>
    <w:lvl w:ilvl="3" w15:tentative="1">
      <w:start w:val="1"/>
      <w:numFmt w:val="custom"/>
      <w:lvlText w:val="☑"/>
      <w:lvlJc w:val="start"/>
      <w:pPr>
        <w:ind w:left="1583" w:hanging="288"/>
      </w:pPr>
    </w:lvl>
    <w:lvl w:ilvl="4" w15:tentative="1">
      <w:start w:val="1"/>
      <w:numFmt w:val="custom"/>
      <w:lvlText w:val="☑"/>
      <w:lvlJc w:val="start"/>
      <w:pPr>
        <w:ind w:left="2015" w:hanging="288"/>
      </w:pPr>
    </w:lvl>
    <w:lvl w:ilvl="5" w15:tentative="1">
      <w:start w:val="1"/>
      <w:numFmt w:val="custom"/>
      <w:lvlText w:val="☑"/>
      <w:lvlJc w:val="start"/>
      <w:pPr>
        <w:ind w:left="2448" w:hanging="288"/>
      </w:pPr>
    </w:lvl>
    <w:lvl w:ilvl="6" w15:tentative="1">
      <w:start w:val="1"/>
      <w:numFmt w:val="custom"/>
      <w:lvlText w:val="☑"/>
      <w:lvlJc w:val="start"/>
      <w:pPr>
        <w:ind w:left="2879" w:hanging="288"/>
      </w:pPr>
    </w:lvl>
    <w:lvl w:ilvl="7" w15:tentative="1">
      <w:start w:val="1"/>
      <w:numFmt w:val="custom"/>
      <w:lvlText w:val="☑"/>
      <w:lvlJc w:val="start"/>
      <w:pPr>
        <w:ind w:left="3312" w:hanging="288"/>
      </w:pPr>
    </w:lvl>
    <w:lvl w:ilvl="8" w15:tentative="1">
      <w:start w:val="1"/>
      <w:numFmt w:val="custom"/>
      <w:lvlText w:val="☑"/>
      <w:lvlJc w:val="start"/>
      <w:pPr>
        <w:ind w:left="3744" w:hanging="288"/>
      </w:pPr>
    </w:lvl>
    <w:lvl w:ilvl="9" w15:tentative="1">
      <w:start w:val="1"/>
      <w:numFmt w:val="custom"/>
      <w:lvlText w:val="☑"/>
      <w:lvlJc w:val="start"/>
      <w:pPr>
        <w:ind w:left="4176" w:hanging="288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pPr>
      <w:spacing w:before="480" w:after="480" w:line="288" w:lineRule="auto"/>
      <w:ind w:left="0"/>
    </w:pPr>
    <w:rPr>
      <w:b/>
      <w:bCs/>
      <w:sz w:val="52"/>
      <w:szCs w:val="52"/>
      <w:rFonts w:ascii="Arial" w:hAnsi="Arial" w:eastAsia="等线" w:cs="Arial"/>
    </w:rPr>
  </w:style>
  <w:style w:type="paragraph" w:styleId="Heading1">
    <w:name w:val="Heading 1"/>
    <w:basedOn w:val="Normal"/>
    <w:next w:val="Normal"/>
    <w:qFormat/>
    <w:pPr>
      <w:spacing w:before="380" w:after="140" w:line="288" w:lineRule="auto"/>
      <w:ind w:left="0"/>
      <w:jc w:val="left"/>
      <w:outlineLvl w:val="0"/>
    </w:pPr>
    <w:rPr>
      <w:b/>
      <w:bCs/>
      <w:sz w:val="36"/>
      <w:szCs w:val="36"/>
      <w:rFonts w:ascii="Arial" w:hAnsi="Arial" w:eastAsia="等线" w:cs="Arial"/>
    </w:rPr>
  </w:style>
  <w:style w:type="paragraph" w:styleId="Heading2">
    <w:name w:val="Heading 2"/>
    <w:basedOn w:val="Normal"/>
    <w:next w:val="Normal"/>
    <w:qFormat/>
    <w:pPr>
      <w:spacing w:before="320" w:after="120" w:line="288" w:lineRule="auto"/>
      <w:ind w:left="0"/>
      <w:jc w:val="left"/>
      <w:outlineLvl w:val="1"/>
    </w:pPr>
    <w:rPr>
      <w:b/>
      <w:bCs/>
      <w:sz w:val="32"/>
      <w:szCs w:val="32"/>
      <w:rFonts w:ascii="Arial" w:hAnsi="Arial" w:eastAsia="等线" w:cs="Arial"/>
    </w:rPr>
  </w:style>
  <w:style w:type="paragraph" w:styleId="Heading3">
    <w:name w:val="Heading 3"/>
    <w:basedOn w:val="Normal"/>
    <w:next w:val="Normal"/>
    <w:qFormat/>
    <w:pPr>
      <w:spacing w:before="300" w:after="120" w:line="288" w:lineRule="auto"/>
      <w:ind w:left="0"/>
      <w:jc w:val="left"/>
      <w:outlineLvl w:val="2"/>
    </w:pPr>
    <w:rPr>
      <w:b/>
      <w:bCs/>
      <w:sz w:val="30"/>
      <w:szCs w:val="30"/>
      <w:rFonts w:ascii="Arial" w:hAnsi="Arial" w:eastAsia="等线" w:cs="Arial"/>
    </w:rPr>
  </w:style>
  <w:style w:type="paragraph" w:styleId="Heading4">
    <w:name w:val="Heading 4"/>
    <w:basedOn w:val="Normal"/>
    <w:next w:val="Normal"/>
    <w:qFormat/>
    <w:pPr>
      <w:spacing w:before="260" w:after="120" w:line="288" w:lineRule="auto"/>
      <w:ind w:left="0"/>
      <w:jc w:val="left"/>
      <w:outlineLvl w:val="3"/>
    </w:pPr>
    <w:rPr>
      <w:b/>
      <w:bCs/>
      <w:sz w:val="28"/>
      <w:szCs w:val="28"/>
      <w:rFonts w:ascii="Arial" w:hAnsi="Arial" w:eastAsia="等线" w:cs="Arial"/>
    </w:rPr>
  </w:style>
  <w:style w:type="paragraph" w:styleId="Heading5">
    <w:name w:val="Heading 5"/>
    <w:basedOn w:val="Normal"/>
    <w:next w:val="Normal"/>
    <w:qFormat/>
    <w:pPr>
      <w:spacing w:before="240" w:after="120" w:line="288" w:lineRule="auto"/>
      <w:ind w:left="0"/>
      <w:jc w:val="left"/>
      <w:outlineLvl w:val="4"/>
    </w:pPr>
    <w:rPr>
      <w:b/>
      <w:bCs/>
      <w:sz w:val="24"/>
      <w:szCs w:val="24"/>
      <w:rFonts w:ascii="Arial" w:hAnsi="Arial" w:eastAsia="等线" w:cs="Arial"/>
    </w:rPr>
  </w:style>
  <w:style w:type="paragraph" w:styleId="Heading6">
    <w:name w:val="Heading 6"/>
    <w:basedOn w:val="Normal"/>
    <w:next w:val="Normal"/>
    <w:qFormat/>
    <w:pPr>
      <w:spacing w:before="240" w:after="120" w:line="288" w:lineRule="auto"/>
      <w:ind w:left="0"/>
      <w:jc w:val="left"/>
      <w:outlineLvl w:val="5"/>
    </w:pPr>
    <w:rPr>
      <w:b/>
      <w:bCs/>
      <w:sz w:val="24"/>
      <w:szCs w:val="24"/>
      <w:rFonts w:ascii="Arial" w:hAnsi="Arial" w:eastAsia="等线" w:cs="Arial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text">
    <w:pPr>
      <w:spacing w:before="120" w:after="120" w:line="288" w:lineRule="auto"/>
      <w:ind w:left="0"/>
      <w:jc w:val="left"/>
    </w:pPr>
    <w:rPr>
      <w:sz w:val="22"/>
      <w:szCs w:val="22"/>
      <w:rFonts w:ascii="Arial" w:hAnsi="Arial" w:eastAsia="等线" w:cs="Arial"/>
    </w:rPr>
  </w:style>
  <w:style w:type="paragraph" w:styleId="blockquote">
    <w:pPr>
      <w:spacing w:before="120" w:after="120" w:line="288" w:lineRule="auto"/>
      <w:ind w:left="0"/>
      <w:jc w:val="left"/>
    </w:pPr>
    <w:rPr>
      <w:color w:val="8F959E"/>
      <w:sz w:val="22"/>
      <w:szCs w:val="22"/>
      <w:rFonts w:ascii="Arial" w:hAnsi="Arial" w:eastAsia="等线" w:cs="Arial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2025-11-04T07:44:13.031Z</dcterms:created>
  <dcterms:modified xsi:type="dcterms:W3CDTF">2025-11-04T07:44:13.031Z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